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BA081B">
      <w:pPr>
        <w:widowControl/>
        <w:kinsoku w:val="0"/>
        <w:autoSpaceDE w:val="0"/>
        <w:autoSpaceDN w:val="0"/>
        <w:adjustRightInd w:val="0"/>
        <w:snapToGrid w:val="0"/>
        <w:textAlignment w:val="baseline"/>
        <w:rPr>
          <w:rFonts w:hint="eastAsia" w:ascii="宋体" w:hAnsi="宋体" w:eastAsia="方正小标宋简体" w:cs="宋体"/>
          <w:snapToGrid w:val="0"/>
          <w:color w:val="000000"/>
          <w:kern w:val="44"/>
          <w:sz w:val="32"/>
          <w:szCs w:val="32"/>
        </w:rPr>
      </w:pPr>
      <w:r>
        <w:rPr>
          <w:rFonts w:hint="eastAsia" w:ascii="黑体" w:hAnsi="黑体" w:eastAsia="黑体" w:cs="黑体"/>
          <w:snapToGrid w:val="0"/>
          <w:color w:val="000000"/>
          <w:kern w:val="44"/>
          <w:sz w:val="32"/>
          <w:szCs w:val="32"/>
        </w:rPr>
        <w:t>附件6</w:t>
      </w:r>
    </w:p>
    <w:p w14:paraId="1A79CC86">
      <w:pPr>
        <w:widowControl/>
        <w:kinsoku w:val="0"/>
        <w:autoSpaceDE w:val="0"/>
        <w:autoSpaceDN w:val="0"/>
        <w:adjustRightInd w:val="0"/>
        <w:snapToGrid w:val="0"/>
        <w:ind w:firstLine="880" w:firstLineChars="200"/>
        <w:textAlignment w:val="baseline"/>
        <w:rPr>
          <w:rFonts w:ascii="宋体" w:hAnsi="宋体" w:eastAsia="方正小标宋简体" w:cs="宋体"/>
          <w:snapToGrid w:val="0"/>
          <w:color w:val="000000"/>
          <w:kern w:val="44"/>
          <w:sz w:val="44"/>
          <w:szCs w:val="44"/>
        </w:rPr>
      </w:pPr>
    </w:p>
    <w:p w14:paraId="6356BF24">
      <w:pPr>
        <w:widowControl/>
        <w:kinsoku w:val="0"/>
        <w:autoSpaceDE w:val="0"/>
        <w:autoSpaceDN w:val="0"/>
        <w:adjustRightInd w:val="0"/>
        <w:snapToGrid w:val="0"/>
        <w:ind w:firstLine="880" w:firstLineChars="200"/>
        <w:textAlignment w:val="baseline"/>
        <w:rPr>
          <w:rFonts w:ascii="宋体" w:hAnsi="宋体" w:eastAsia="方正小标宋简体" w:cs="宋体"/>
          <w:snapToGrid w:val="0"/>
          <w:color w:val="000000"/>
          <w:kern w:val="44"/>
          <w:sz w:val="44"/>
          <w:szCs w:val="44"/>
        </w:rPr>
      </w:pPr>
      <w:bookmarkStart w:id="0" w:name="_GoBack"/>
      <w:r>
        <w:rPr>
          <w:rFonts w:ascii="宋体" w:hAnsi="宋体" w:eastAsia="方正小标宋简体" w:cs="宋体"/>
          <w:snapToGrid w:val="0"/>
          <w:color w:val="000000"/>
          <w:kern w:val="44"/>
          <w:sz w:val="44"/>
          <w:szCs w:val="44"/>
        </w:rPr>
        <w:t>国一及以下非道路移动机械（柴油机）</w:t>
      </w:r>
    </w:p>
    <w:p w14:paraId="226D7D7B">
      <w:pPr>
        <w:keepNext/>
        <w:keepLines/>
        <w:widowControl/>
        <w:kinsoku w:val="0"/>
        <w:autoSpaceDE w:val="0"/>
        <w:autoSpaceDN w:val="0"/>
        <w:adjustRightInd w:val="0"/>
        <w:snapToGrid w:val="0"/>
        <w:spacing w:line="560" w:lineRule="exact"/>
        <w:jc w:val="center"/>
        <w:textAlignment w:val="baseline"/>
        <w:rPr>
          <w:rFonts w:ascii="宋体" w:hAnsi="宋体" w:eastAsia="方正小标宋简体" w:cs="宋体"/>
          <w:snapToGrid w:val="0"/>
          <w:color w:val="000000"/>
          <w:kern w:val="44"/>
          <w:sz w:val="44"/>
          <w:szCs w:val="44"/>
        </w:rPr>
      </w:pPr>
      <w:r>
        <w:rPr>
          <w:rFonts w:ascii="宋体" w:hAnsi="宋体" w:eastAsia="方正小标宋简体" w:cs="宋体"/>
          <w:snapToGrid w:val="0"/>
          <w:color w:val="000000"/>
          <w:kern w:val="44"/>
          <w:sz w:val="44"/>
          <w:szCs w:val="44"/>
        </w:rPr>
        <w:t>淘汰更新参考流程</w:t>
      </w:r>
    </w:p>
    <w:bookmarkEnd w:id="0"/>
    <w:p w14:paraId="561C139E">
      <w:pPr>
        <w:widowControl/>
        <w:kinsoku w:val="0"/>
        <w:autoSpaceDE w:val="0"/>
        <w:autoSpaceDN w:val="0"/>
        <w:adjustRightInd w:val="0"/>
        <w:snapToGrid w:val="0"/>
        <w:spacing w:line="560" w:lineRule="exact"/>
        <w:jc w:val="left"/>
        <w:textAlignment w:val="baseline"/>
        <w:rPr>
          <w:rFonts w:ascii="宋体" w:hAnsi="宋体" w:eastAsia="仿宋_GB2312" w:cs="宋体"/>
          <w:snapToGrid w:val="0"/>
          <w:color w:val="000000"/>
          <w:kern w:val="0"/>
          <w:szCs w:val="21"/>
        </w:rPr>
      </w:pPr>
    </w:p>
    <w:p w14:paraId="134642E1">
      <w:pPr>
        <w:widowControl/>
        <w:tabs>
          <w:tab w:val="left" w:pos="1179"/>
        </w:tabs>
        <w:kinsoku w:val="0"/>
        <w:autoSpaceDE w:val="0"/>
        <w:autoSpaceDN w:val="0"/>
        <w:ind w:firstLine="643" w:firstLineChars="200"/>
        <w:jc w:val="left"/>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b/>
          <w:bCs/>
          <w:snapToGrid w:val="0"/>
          <w:color w:val="000000"/>
          <w:kern w:val="0"/>
          <w:sz w:val="32"/>
          <w:szCs w:val="32"/>
        </w:rPr>
        <w:t>一、核实机械信息。</w:t>
      </w:r>
      <w:r>
        <w:rPr>
          <w:rFonts w:hint="eastAsia" w:ascii="仿宋_GB2312" w:hAnsi="仿宋_GB2312" w:eastAsia="仿宋_GB2312" w:cs="仿宋_GB2312"/>
          <w:snapToGrid w:val="0"/>
          <w:color w:val="000000"/>
          <w:kern w:val="0"/>
          <w:sz w:val="32"/>
          <w:szCs w:val="32"/>
        </w:rPr>
        <w:t>逐台核实并筛查确认已编码登记的国一及以下非道路移动机械信息，形成国一及以下非道路移动机械淘汰更新清单，告知、宣传引导机械所有人淘汰更新政策。</w:t>
      </w:r>
    </w:p>
    <w:p w14:paraId="019D10D4">
      <w:pPr>
        <w:widowControl/>
        <w:tabs>
          <w:tab w:val="left" w:pos="1179"/>
        </w:tabs>
        <w:kinsoku w:val="0"/>
        <w:autoSpaceDE w:val="0"/>
        <w:autoSpaceDN w:val="0"/>
        <w:ind w:firstLine="643" w:firstLineChars="200"/>
        <w:jc w:val="left"/>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b/>
          <w:bCs/>
          <w:snapToGrid w:val="0"/>
          <w:color w:val="000000"/>
          <w:kern w:val="0"/>
          <w:sz w:val="32"/>
          <w:szCs w:val="32"/>
        </w:rPr>
        <w:t>二、进行报废拆解、以旧换新、更换发动机</w:t>
      </w:r>
      <w:r>
        <w:rPr>
          <w:rFonts w:hint="eastAsia" w:ascii="仿宋_GB2312" w:hAnsi="仿宋_GB2312" w:eastAsia="仿宋_GB2312" w:cs="仿宋_GB2312"/>
          <w:snapToGrid w:val="0"/>
          <w:color w:val="000000"/>
          <w:kern w:val="0"/>
          <w:sz w:val="32"/>
          <w:szCs w:val="32"/>
        </w:rPr>
        <w:t>。列入淘汰更新范围内的机械，机械所有人自愿将报废机械（或其装配的发动机）交给具有资质的报废机动车回收拆解企业报废拆解。县（市、区）生态环境分局要对每台报废拆解的机械（或其装配的发动机）信息进行技术核实，将《报废回收证明》盖章确认后交由县（市、区）商务部门进行盖章确认。领取《报废回收证明》的，至少要将发动机进行打孔破坏处理。</w:t>
      </w:r>
    </w:p>
    <w:p w14:paraId="4F9A0108">
      <w:pPr>
        <w:widowControl/>
        <w:tabs>
          <w:tab w:val="left" w:pos="1179"/>
        </w:tabs>
        <w:kinsoku w:val="0"/>
        <w:autoSpaceDE w:val="0"/>
        <w:autoSpaceDN w:val="0"/>
        <w:ind w:firstLine="640" w:firstLineChars="200"/>
        <w:jc w:val="left"/>
        <w:textAlignment w:val="baseline"/>
        <w:rPr>
          <w:rFonts w:hint="eastAsia" w:ascii="仿宋_GB2312" w:hAnsi="仿宋_GB2312" w:eastAsia="仿宋_GB2312" w:cs="仿宋_GB2312"/>
          <w:bCs/>
          <w:color w:val="000000"/>
          <w:kern w:val="0"/>
          <w:sz w:val="32"/>
          <w:szCs w:val="32"/>
          <w:lang w:bidi="ar"/>
        </w:rPr>
      </w:pPr>
      <w:r>
        <w:rPr>
          <w:rFonts w:hint="eastAsia" w:ascii="仿宋_GB2312" w:hAnsi="仿宋_GB2312" w:eastAsia="仿宋_GB2312" w:cs="仿宋_GB2312"/>
          <w:snapToGrid w:val="0"/>
          <w:color w:val="000000"/>
          <w:kern w:val="0"/>
          <w:sz w:val="32"/>
          <w:szCs w:val="32"/>
        </w:rPr>
        <w:t>以旧换新的机械，</w:t>
      </w:r>
      <w:r>
        <w:rPr>
          <w:rFonts w:hint="eastAsia" w:ascii="仿宋_GB2312" w:hAnsi="仿宋_GB2312" w:eastAsia="仿宋_GB2312" w:cs="仿宋_GB2312"/>
          <w:bCs/>
          <w:color w:val="000000"/>
          <w:kern w:val="0"/>
          <w:sz w:val="32"/>
          <w:szCs w:val="32"/>
          <w:lang w:bidi="ar"/>
        </w:rPr>
        <w:t>机械所有人（单位）应提供“以旧换新”合同或协议等证明材料。</w:t>
      </w:r>
    </w:p>
    <w:p w14:paraId="71C56A74">
      <w:pPr>
        <w:widowControl/>
        <w:tabs>
          <w:tab w:val="left" w:pos="1179"/>
        </w:tabs>
        <w:kinsoku w:val="0"/>
        <w:autoSpaceDE w:val="0"/>
        <w:autoSpaceDN w:val="0"/>
        <w:ind w:firstLine="640" w:firstLineChars="200"/>
        <w:jc w:val="left"/>
        <w:textAlignment w:val="baseline"/>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bCs/>
          <w:color w:val="000000"/>
          <w:kern w:val="0"/>
          <w:sz w:val="32"/>
          <w:szCs w:val="32"/>
          <w:lang w:bidi="ar"/>
        </w:rPr>
        <w:t>更换发动机的机械，机械所有人（单位）应提供具备改造能力的单位（企业）提供的《更换发动机证明》。</w:t>
      </w:r>
    </w:p>
    <w:p w14:paraId="6255D3C9">
      <w:pPr>
        <w:widowControl/>
        <w:tabs>
          <w:tab w:val="left" w:pos="1179"/>
        </w:tabs>
        <w:kinsoku w:val="0"/>
        <w:autoSpaceDE w:val="0"/>
        <w:autoSpaceDN w:val="0"/>
        <w:ind w:firstLine="643" w:firstLineChars="200"/>
        <w:jc w:val="left"/>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b/>
          <w:bCs/>
          <w:snapToGrid w:val="0"/>
          <w:color w:val="000000"/>
          <w:kern w:val="0"/>
          <w:sz w:val="32"/>
          <w:szCs w:val="32"/>
        </w:rPr>
        <w:t>三、办理变更注销。</w:t>
      </w:r>
      <w:r>
        <w:rPr>
          <w:rFonts w:hint="eastAsia" w:ascii="仿宋_GB2312" w:hAnsi="仿宋_GB2312" w:eastAsia="仿宋_GB2312" w:cs="仿宋_GB2312"/>
          <w:snapToGrid w:val="0"/>
          <w:color w:val="000000"/>
          <w:kern w:val="0"/>
          <w:sz w:val="32"/>
          <w:szCs w:val="32"/>
        </w:rPr>
        <w:t>报废机动车回收拆解企业、新机械销售企业及具备资质的改装企业应协助机械所有人在非道路移动机械监管系统按要求提交《报废回收证明》、</w:t>
      </w:r>
      <w:r>
        <w:rPr>
          <w:rFonts w:hint="eastAsia" w:ascii="仿宋_GB2312" w:hAnsi="仿宋_GB2312" w:eastAsia="仿宋_GB2312" w:cs="仿宋_GB2312"/>
          <w:bCs/>
          <w:color w:val="000000"/>
          <w:kern w:val="0"/>
          <w:sz w:val="32"/>
          <w:szCs w:val="32"/>
          <w:lang w:bidi="ar"/>
        </w:rPr>
        <w:t>“以旧换新”合同或协议、《更换发动机证明》</w:t>
      </w:r>
      <w:r>
        <w:rPr>
          <w:rFonts w:hint="eastAsia" w:ascii="仿宋_GB2312" w:hAnsi="仿宋_GB2312" w:eastAsia="仿宋_GB2312" w:cs="仿宋_GB2312"/>
          <w:snapToGrid w:val="0"/>
          <w:color w:val="000000"/>
          <w:kern w:val="0"/>
          <w:sz w:val="32"/>
          <w:szCs w:val="32"/>
        </w:rPr>
        <w:t>等材料，进行信息变更或注。</w:t>
      </w:r>
    </w:p>
    <w:p w14:paraId="1F004210">
      <w:pPr>
        <w:widowControl/>
        <w:ind w:firstLine="643" w:firstLineChars="200"/>
        <w:jc w:val="left"/>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b/>
          <w:bCs/>
          <w:snapToGrid w:val="0"/>
          <w:color w:val="000000"/>
          <w:kern w:val="0"/>
          <w:sz w:val="32"/>
          <w:szCs w:val="32"/>
        </w:rPr>
        <w:t>四、补贴资金申请。</w:t>
      </w:r>
      <w:r>
        <w:rPr>
          <w:rFonts w:hint="eastAsia" w:ascii="仿宋_GB2312" w:hAnsi="仿宋_GB2312" w:eastAsia="仿宋_GB2312" w:cs="仿宋_GB2312"/>
          <w:sz w:val="32"/>
          <w:szCs w:val="32"/>
        </w:rPr>
        <w:t>有条件开展补贴的县（市、区），</w:t>
      </w:r>
      <w:r>
        <w:rPr>
          <w:rFonts w:hint="eastAsia" w:ascii="仿宋_GB2312" w:hAnsi="仿宋_GB2312" w:eastAsia="仿宋_GB2312" w:cs="仿宋_GB2312"/>
          <w:snapToGrid w:val="0"/>
          <w:color w:val="000000"/>
          <w:kern w:val="0"/>
          <w:sz w:val="32"/>
          <w:szCs w:val="32"/>
        </w:rPr>
        <w:t>报废拆解、以旧换新、更换发动机三种情况均可参照补贴标准进行补贴，开展补贴的县（市、区），可按照县（市、区）自行制定的淘汰更新补贴方案进行补贴申请、资料审核、资金发放等工作。发放补贴时，至少包括但不限于《报废回收证明》、</w:t>
      </w:r>
      <w:r>
        <w:rPr>
          <w:rFonts w:hint="eastAsia" w:ascii="仿宋_GB2312" w:hAnsi="仿宋_GB2312" w:eastAsia="仿宋_GB2312" w:cs="仿宋_GB2312"/>
          <w:bCs/>
          <w:color w:val="000000"/>
          <w:kern w:val="0"/>
          <w:sz w:val="32"/>
          <w:szCs w:val="32"/>
          <w:lang w:bidi="ar"/>
        </w:rPr>
        <w:t>“以旧换新”合同或协议、《更换发动机证明》</w:t>
      </w:r>
      <w:r>
        <w:rPr>
          <w:rFonts w:hint="eastAsia" w:ascii="仿宋_GB2312" w:hAnsi="仿宋_GB2312" w:eastAsia="仿宋_GB2312" w:cs="仿宋_GB2312"/>
          <w:snapToGrid w:val="0"/>
          <w:color w:val="000000"/>
          <w:kern w:val="0"/>
          <w:sz w:val="32"/>
          <w:szCs w:val="32"/>
        </w:rPr>
        <w:t>等证明材料。</w:t>
      </w:r>
    </w:p>
    <w:p w14:paraId="01AB8236">
      <w:pPr>
        <w:widowControl/>
        <w:ind w:firstLine="640" w:firstLineChars="200"/>
        <w:jc w:val="left"/>
        <w:rPr>
          <w:rFonts w:hint="eastAsia" w:ascii="仿宋_GB2312" w:hAnsi="仿宋_GB2312" w:eastAsia="仿宋_GB2312" w:cs="仿宋_GB2312"/>
          <w:snapToGrid w:val="0"/>
          <w:color w:val="000000"/>
          <w:kern w:val="0"/>
          <w:sz w:val="32"/>
          <w:szCs w:val="32"/>
        </w:rPr>
      </w:pPr>
    </w:p>
    <w:p w14:paraId="5E2CDCDD">
      <w:pPr>
        <w:tabs>
          <w:tab w:val="left" w:pos="2703"/>
        </w:tabs>
        <w:spacing w:before="297" w:line="259" w:lineRule="auto"/>
        <w:rPr>
          <w:rFonts w:hint="eastAsia" w:ascii="仿宋" w:hAnsi="仿宋" w:eastAsia="仿宋" w:cs="仿宋"/>
          <w:b/>
          <w:bCs/>
          <w:sz w:val="32"/>
          <w:szCs w:val="32"/>
        </w:rPr>
      </w:pPr>
    </w:p>
    <w:p w14:paraId="48F7E52E">
      <w:pPr>
        <w:tabs>
          <w:tab w:val="left" w:pos="2703"/>
        </w:tabs>
        <w:spacing w:before="297" w:line="259" w:lineRule="auto"/>
        <w:rPr>
          <w:rFonts w:hint="eastAsia" w:ascii="仿宋" w:hAnsi="仿宋" w:eastAsia="仿宋" w:cs="仿宋"/>
          <w:b/>
          <w:bCs/>
          <w:sz w:val="32"/>
          <w:szCs w:val="32"/>
        </w:rPr>
        <w:sectPr>
          <w:pgSz w:w="11906" w:h="16838"/>
          <w:pgMar w:top="1440" w:right="1576" w:bottom="1440" w:left="1800" w:header="851" w:footer="992" w:gutter="0"/>
          <w:cols w:space="720" w:num="1"/>
          <w:docGrid w:type="lines" w:linePitch="312" w:charSpace="0"/>
        </w:sectPr>
      </w:pPr>
    </w:p>
    <w:p w14:paraId="51F8E9E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543B01DD"/>
    <w:rsid w:val="543B0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2024-10-12T02:18:00Z</dcterms:created>
  <dc:creator>似曾相识</dc:creator>
  <cp:lastModifiedBy>似曾相识</cp:lastModifiedBy>
  <dcterms:modified xsi:type="dcterms:W3CDTF">2024-10-12T02:18:42Z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B7E3006C2A1C49769D0758468ABEEDEA_11</vt:lpwstr>
  </property>
</Properties>
</file>